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5EDF" w14:textId="77777777" w:rsidR="00A34A4E" w:rsidRPr="00886980" w:rsidRDefault="00A34A4E" w:rsidP="00886980">
      <w:pPr>
        <w:pStyle w:val="Title"/>
      </w:pPr>
    </w:p>
    <w:p w14:paraId="076550C8" w14:textId="77777777" w:rsidR="00A34A4E" w:rsidRPr="00886980" w:rsidRDefault="00000000" w:rsidP="00886980">
      <w:pPr>
        <w:pStyle w:val="Title"/>
      </w:pPr>
      <w:r w:rsidRPr="00886980">
        <w:t>Appeal Form for Students</w:t>
      </w:r>
    </w:p>
    <w:p w14:paraId="54D8ABDF" w14:textId="77777777" w:rsidR="00A34A4E" w:rsidRPr="00886980" w:rsidRDefault="00A34A4E" w:rsidP="00886980"/>
    <w:p w14:paraId="17467217" w14:textId="77777777" w:rsidR="00A34A4E" w:rsidRPr="00886980" w:rsidRDefault="00000000" w:rsidP="00886980">
      <w:pPr>
        <w:pStyle w:val="Heading1"/>
      </w:pPr>
      <w:bookmarkStart w:id="0" w:name="_heading=h.oya0r6dqhcao" w:colFirst="0" w:colLast="0"/>
      <w:bookmarkStart w:id="1" w:name="_Toc155857447"/>
      <w:bookmarkEnd w:id="0"/>
      <w:r w:rsidRPr="00886980">
        <w:t>Purpose and Scope</w:t>
      </w:r>
      <w:bookmarkEnd w:id="1"/>
    </w:p>
    <w:p w14:paraId="04939B4D" w14:textId="03AB46F0" w:rsidR="00A34A4E" w:rsidRPr="00886980" w:rsidRDefault="00000000" w:rsidP="00886980">
      <w:r w:rsidRPr="00886980">
        <w:t xml:space="preserve">This form is used by a student to exercise their right of appeal against a decision or recommendation made through any of the following policies and associated procedures: </w:t>
      </w:r>
      <w:hyperlink r:id="rId9">
        <w:r w:rsidRPr="00886980">
          <w:rPr>
            <w:rStyle w:val="Hyperlink"/>
          </w:rPr>
          <w:t>Academic Misconduct</w:t>
        </w:r>
      </w:hyperlink>
      <w:r w:rsidRPr="00886980">
        <w:t xml:space="preserve">, </w:t>
      </w:r>
      <w:hyperlink r:id="rId10">
        <w:r w:rsidRPr="00886980">
          <w:rPr>
            <w:rStyle w:val="Hyperlink"/>
          </w:rPr>
          <w:t>Complaints</w:t>
        </w:r>
      </w:hyperlink>
      <w:r w:rsidRPr="00886980">
        <w:t xml:space="preserve">, </w:t>
      </w:r>
      <w:hyperlink r:id="rId11">
        <w:r w:rsidRPr="00886980">
          <w:rPr>
            <w:rStyle w:val="Hyperlink"/>
          </w:rPr>
          <w:t>Declarations of Criminal Conviction</w:t>
        </w:r>
      </w:hyperlink>
      <w:r w:rsidRPr="00886980">
        <w:t xml:space="preserve">, </w:t>
      </w:r>
      <w:hyperlink r:id="rId12" w:history="1">
        <w:r w:rsidRPr="00886980">
          <w:rPr>
            <w:rStyle w:val="Hyperlink"/>
          </w:rPr>
          <w:t>Disciplinary Procedures</w:t>
        </w:r>
      </w:hyperlink>
      <w:r w:rsidRPr="00886980">
        <w:t xml:space="preserve">, </w:t>
      </w:r>
      <w:hyperlink r:id="rId13">
        <w:r w:rsidRPr="00886980">
          <w:rPr>
            <w:rStyle w:val="Hyperlink"/>
          </w:rPr>
          <w:t>Extenuating Circumstances</w:t>
        </w:r>
      </w:hyperlink>
      <w:r w:rsidRPr="00886980">
        <w:t xml:space="preserve">, </w:t>
      </w:r>
      <w:hyperlink r:id="rId14" w:history="1">
        <w:r w:rsidRPr="00886980">
          <w:rPr>
            <w:rStyle w:val="Hyperlink"/>
          </w:rPr>
          <w:t>Research Misconduct</w:t>
        </w:r>
      </w:hyperlink>
      <w:r w:rsidRPr="00886980">
        <w:t xml:space="preserve">, </w:t>
      </w:r>
      <w:hyperlink r:id="rId15">
        <w:r w:rsidRPr="00886980">
          <w:rPr>
            <w:rStyle w:val="Hyperlink"/>
          </w:rPr>
          <w:t>Support to Study</w:t>
        </w:r>
      </w:hyperlink>
      <w:r w:rsidRPr="00886980">
        <w:t xml:space="preserve">, and </w:t>
      </w:r>
      <w:hyperlink r:id="rId16">
        <w:r w:rsidRPr="00886980">
          <w:rPr>
            <w:rStyle w:val="Hyperlink"/>
          </w:rPr>
          <w:t>Undergraduate Student Attendance</w:t>
        </w:r>
      </w:hyperlink>
      <w:r w:rsidRPr="00886980">
        <w:t>.</w:t>
      </w:r>
    </w:p>
    <w:p w14:paraId="2DB97C44" w14:textId="271FFCE4" w:rsidR="00A34A4E" w:rsidRPr="00886980" w:rsidRDefault="00000000" w:rsidP="00886980">
      <w:r w:rsidRPr="00886980">
        <w:t xml:space="preserve">Please note that the </w:t>
      </w:r>
      <w:hyperlink r:id="rId17" w:history="1">
        <w:r w:rsidRPr="00E50AB5">
          <w:rPr>
            <w:rStyle w:val="Hyperlink"/>
          </w:rPr>
          <w:t>Academic Appeals Policy and Procedure</w:t>
        </w:r>
      </w:hyperlink>
      <w:r w:rsidRPr="00886980">
        <w:t xml:space="preserve"> is initiated through the </w:t>
      </w:r>
      <w:hyperlink r:id="rId18" w:history="1">
        <w:r w:rsidRPr="00886980">
          <w:rPr>
            <w:rStyle w:val="Hyperlink"/>
          </w:rPr>
          <w:t>Academic Appeals Form</w:t>
        </w:r>
      </w:hyperlink>
      <w:r w:rsidRPr="00886980">
        <w:t>.</w:t>
      </w:r>
    </w:p>
    <w:p w14:paraId="3FE10562" w14:textId="77777777" w:rsidR="00A34A4E" w:rsidRPr="00886980" w:rsidRDefault="00A34A4E" w:rsidP="00886980"/>
    <w:p w14:paraId="369861C9" w14:textId="77777777" w:rsidR="00A34A4E" w:rsidRPr="00886980" w:rsidRDefault="00000000" w:rsidP="00886980">
      <w:pPr>
        <w:pStyle w:val="Heading1"/>
      </w:pPr>
      <w:bookmarkStart w:id="2" w:name="_Toc155857448"/>
      <w:r w:rsidRPr="00886980">
        <w:t>Instructions</w:t>
      </w:r>
      <w:bookmarkEnd w:id="2"/>
    </w:p>
    <w:p w14:paraId="0EEC260D" w14:textId="77777777" w:rsidR="00A34A4E" w:rsidRPr="00886980" w:rsidRDefault="00000000" w:rsidP="00886980">
      <w:r w:rsidRPr="00886980">
        <w:t>Submit this form, fully completed and accompanied by supporting evidence, to the recipient as specified in the corresponding policy or procedure.</w:t>
      </w:r>
    </w:p>
    <w:p w14:paraId="147C85E2" w14:textId="77777777" w:rsidR="00A34A4E" w:rsidRDefault="00A34A4E" w:rsidP="00886980"/>
    <w:p w14:paraId="587C32CE" w14:textId="0A52542B" w:rsidR="00886980" w:rsidRPr="001644D1" w:rsidRDefault="00886980" w:rsidP="00886980">
      <w:pPr>
        <w:rPr>
          <w:sz w:val="36"/>
          <w:szCs w:val="36"/>
        </w:rPr>
      </w:pPr>
      <w:r w:rsidRPr="001644D1">
        <w:rPr>
          <w:sz w:val="36"/>
          <w:szCs w:val="36"/>
        </w:rPr>
        <w:t>Contents</w:t>
      </w:r>
    </w:p>
    <w:p w14:paraId="22280023" w14:textId="645CD3BB" w:rsidR="001C3549" w:rsidRDefault="001644D1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5857447" w:history="1">
        <w:r w:rsidR="001C3549" w:rsidRPr="0096561E">
          <w:rPr>
            <w:rStyle w:val="Hyperlink"/>
            <w:noProof/>
          </w:rPr>
          <w:t>Purpose and Scope</w:t>
        </w:r>
        <w:r w:rsidR="001C3549">
          <w:rPr>
            <w:noProof/>
            <w:webHidden/>
          </w:rPr>
          <w:tab/>
        </w:r>
        <w:r w:rsidR="001C3549">
          <w:rPr>
            <w:noProof/>
            <w:webHidden/>
          </w:rPr>
          <w:fldChar w:fldCharType="begin"/>
        </w:r>
        <w:r w:rsidR="001C3549">
          <w:rPr>
            <w:noProof/>
            <w:webHidden/>
          </w:rPr>
          <w:instrText xml:space="preserve"> PAGEREF _Toc155857447 \h </w:instrText>
        </w:r>
        <w:r w:rsidR="001C3549">
          <w:rPr>
            <w:noProof/>
            <w:webHidden/>
          </w:rPr>
        </w:r>
        <w:r w:rsidR="001C3549">
          <w:rPr>
            <w:noProof/>
            <w:webHidden/>
          </w:rPr>
          <w:fldChar w:fldCharType="separate"/>
        </w:r>
        <w:r w:rsidR="001C3549">
          <w:rPr>
            <w:noProof/>
            <w:webHidden/>
          </w:rPr>
          <w:t>1</w:t>
        </w:r>
        <w:r w:rsidR="001C3549">
          <w:rPr>
            <w:noProof/>
            <w:webHidden/>
          </w:rPr>
          <w:fldChar w:fldCharType="end"/>
        </w:r>
      </w:hyperlink>
    </w:p>
    <w:p w14:paraId="7399FDA7" w14:textId="3AE39C82" w:rsidR="001C3549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5857448" w:history="1">
        <w:r w:rsidR="001C3549" w:rsidRPr="0096561E">
          <w:rPr>
            <w:rStyle w:val="Hyperlink"/>
            <w:noProof/>
          </w:rPr>
          <w:t>Instructions</w:t>
        </w:r>
        <w:r w:rsidR="001C3549">
          <w:rPr>
            <w:noProof/>
            <w:webHidden/>
          </w:rPr>
          <w:tab/>
        </w:r>
        <w:r w:rsidR="001C3549">
          <w:rPr>
            <w:noProof/>
            <w:webHidden/>
          </w:rPr>
          <w:fldChar w:fldCharType="begin"/>
        </w:r>
        <w:r w:rsidR="001C3549">
          <w:rPr>
            <w:noProof/>
            <w:webHidden/>
          </w:rPr>
          <w:instrText xml:space="preserve"> PAGEREF _Toc155857448 \h </w:instrText>
        </w:r>
        <w:r w:rsidR="001C3549">
          <w:rPr>
            <w:noProof/>
            <w:webHidden/>
          </w:rPr>
        </w:r>
        <w:r w:rsidR="001C3549">
          <w:rPr>
            <w:noProof/>
            <w:webHidden/>
          </w:rPr>
          <w:fldChar w:fldCharType="separate"/>
        </w:r>
        <w:r w:rsidR="001C3549">
          <w:rPr>
            <w:noProof/>
            <w:webHidden/>
          </w:rPr>
          <w:t>1</w:t>
        </w:r>
        <w:r w:rsidR="001C3549">
          <w:rPr>
            <w:noProof/>
            <w:webHidden/>
          </w:rPr>
          <w:fldChar w:fldCharType="end"/>
        </w:r>
      </w:hyperlink>
    </w:p>
    <w:p w14:paraId="75A4DFAF" w14:textId="49F503F6" w:rsidR="001C3549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5857449" w:history="1">
        <w:r w:rsidR="001C3549" w:rsidRPr="0096561E">
          <w:rPr>
            <w:rStyle w:val="Hyperlink"/>
            <w:noProof/>
          </w:rPr>
          <w:t>Section 1: Student Information</w:t>
        </w:r>
        <w:r w:rsidR="001C3549">
          <w:rPr>
            <w:noProof/>
            <w:webHidden/>
          </w:rPr>
          <w:tab/>
        </w:r>
        <w:r w:rsidR="001C3549">
          <w:rPr>
            <w:noProof/>
            <w:webHidden/>
          </w:rPr>
          <w:fldChar w:fldCharType="begin"/>
        </w:r>
        <w:r w:rsidR="001C3549">
          <w:rPr>
            <w:noProof/>
            <w:webHidden/>
          </w:rPr>
          <w:instrText xml:space="preserve"> PAGEREF _Toc155857449 \h </w:instrText>
        </w:r>
        <w:r w:rsidR="001C3549">
          <w:rPr>
            <w:noProof/>
            <w:webHidden/>
          </w:rPr>
        </w:r>
        <w:r w:rsidR="001C3549">
          <w:rPr>
            <w:noProof/>
            <w:webHidden/>
          </w:rPr>
          <w:fldChar w:fldCharType="separate"/>
        </w:r>
        <w:r w:rsidR="001C3549">
          <w:rPr>
            <w:noProof/>
            <w:webHidden/>
          </w:rPr>
          <w:t>2</w:t>
        </w:r>
        <w:r w:rsidR="001C3549">
          <w:rPr>
            <w:noProof/>
            <w:webHidden/>
          </w:rPr>
          <w:fldChar w:fldCharType="end"/>
        </w:r>
      </w:hyperlink>
    </w:p>
    <w:p w14:paraId="51262BB1" w14:textId="5101131E" w:rsidR="001C3549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5857450" w:history="1">
        <w:r w:rsidR="001C3549" w:rsidRPr="0096561E">
          <w:rPr>
            <w:rStyle w:val="Hyperlink"/>
            <w:noProof/>
          </w:rPr>
          <w:t>Section 2: Nature of Appeal</w:t>
        </w:r>
        <w:r w:rsidR="001C3549">
          <w:rPr>
            <w:noProof/>
            <w:webHidden/>
          </w:rPr>
          <w:tab/>
        </w:r>
        <w:r w:rsidR="001C3549">
          <w:rPr>
            <w:noProof/>
            <w:webHidden/>
          </w:rPr>
          <w:fldChar w:fldCharType="begin"/>
        </w:r>
        <w:r w:rsidR="001C3549">
          <w:rPr>
            <w:noProof/>
            <w:webHidden/>
          </w:rPr>
          <w:instrText xml:space="preserve"> PAGEREF _Toc155857450 \h </w:instrText>
        </w:r>
        <w:r w:rsidR="001C3549">
          <w:rPr>
            <w:noProof/>
            <w:webHidden/>
          </w:rPr>
        </w:r>
        <w:r w:rsidR="001C3549">
          <w:rPr>
            <w:noProof/>
            <w:webHidden/>
          </w:rPr>
          <w:fldChar w:fldCharType="separate"/>
        </w:r>
        <w:r w:rsidR="001C3549">
          <w:rPr>
            <w:noProof/>
            <w:webHidden/>
          </w:rPr>
          <w:t>2</w:t>
        </w:r>
        <w:r w:rsidR="001C3549">
          <w:rPr>
            <w:noProof/>
            <w:webHidden/>
          </w:rPr>
          <w:fldChar w:fldCharType="end"/>
        </w:r>
      </w:hyperlink>
    </w:p>
    <w:p w14:paraId="40670D87" w14:textId="656CB05A" w:rsidR="001C3549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5857451" w:history="1">
        <w:r w:rsidR="001C3549" w:rsidRPr="0096561E">
          <w:rPr>
            <w:rStyle w:val="Hyperlink"/>
            <w:noProof/>
          </w:rPr>
          <w:t>Section 3: Grounds for Appeal</w:t>
        </w:r>
        <w:r w:rsidR="001C3549">
          <w:rPr>
            <w:noProof/>
            <w:webHidden/>
          </w:rPr>
          <w:tab/>
        </w:r>
        <w:r w:rsidR="001C3549">
          <w:rPr>
            <w:noProof/>
            <w:webHidden/>
          </w:rPr>
          <w:fldChar w:fldCharType="begin"/>
        </w:r>
        <w:r w:rsidR="001C3549">
          <w:rPr>
            <w:noProof/>
            <w:webHidden/>
          </w:rPr>
          <w:instrText xml:space="preserve"> PAGEREF _Toc155857451 \h </w:instrText>
        </w:r>
        <w:r w:rsidR="001C3549">
          <w:rPr>
            <w:noProof/>
            <w:webHidden/>
          </w:rPr>
        </w:r>
        <w:r w:rsidR="001C3549">
          <w:rPr>
            <w:noProof/>
            <w:webHidden/>
          </w:rPr>
          <w:fldChar w:fldCharType="separate"/>
        </w:r>
        <w:r w:rsidR="001C3549">
          <w:rPr>
            <w:noProof/>
            <w:webHidden/>
          </w:rPr>
          <w:t>2</w:t>
        </w:r>
        <w:r w:rsidR="001C3549">
          <w:rPr>
            <w:noProof/>
            <w:webHidden/>
          </w:rPr>
          <w:fldChar w:fldCharType="end"/>
        </w:r>
      </w:hyperlink>
    </w:p>
    <w:p w14:paraId="4C7EC0EB" w14:textId="0BB1F9CC" w:rsidR="001C3549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5857452" w:history="1">
        <w:r w:rsidR="001C3549" w:rsidRPr="0096561E">
          <w:rPr>
            <w:rStyle w:val="Hyperlink"/>
            <w:noProof/>
          </w:rPr>
          <w:t>Section 4: Evidence</w:t>
        </w:r>
        <w:r w:rsidR="001C3549">
          <w:rPr>
            <w:noProof/>
            <w:webHidden/>
          </w:rPr>
          <w:tab/>
        </w:r>
        <w:r w:rsidR="001C3549">
          <w:rPr>
            <w:noProof/>
            <w:webHidden/>
          </w:rPr>
          <w:fldChar w:fldCharType="begin"/>
        </w:r>
        <w:r w:rsidR="001C3549">
          <w:rPr>
            <w:noProof/>
            <w:webHidden/>
          </w:rPr>
          <w:instrText xml:space="preserve"> PAGEREF _Toc155857452 \h </w:instrText>
        </w:r>
        <w:r w:rsidR="001C3549">
          <w:rPr>
            <w:noProof/>
            <w:webHidden/>
          </w:rPr>
        </w:r>
        <w:r w:rsidR="001C3549">
          <w:rPr>
            <w:noProof/>
            <w:webHidden/>
          </w:rPr>
          <w:fldChar w:fldCharType="separate"/>
        </w:r>
        <w:r w:rsidR="001C3549">
          <w:rPr>
            <w:noProof/>
            <w:webHidden/>
          </w:rPr>
          <w:t>3</w:t>
        </w:r>
        <w:r w:rsidR="001C3549">
          <w:rPr>
            <w:noProof/>
            <w:webHidden/>
          </w:rPr>
          <w:fldChar w:fldCharType="end"/>
        </w:r>
      </w:hyperlink>
    </w:p>
    <w:p w14:paraId="35BBDF26" w14:textId="0C1D9D51" w:rsidR="001C3549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5857453" w:history="1">
        <w:r w:rsidR="001C3549" w:rsidRPr="0096561E">
          <w:rPr>
            <w:rStyle w:val="Hyperlink"/>
            <w:noProof/>
          </w:rPr>
          <w:t>Section 5: Certification of Form</w:t>
        </w:r>
        <w:r w:rsidR="001C3549">
          <w:rPr>
            <w:noProof/>
            <w:webHidden/>
          </w:rPr>
          <w:tab/>
        </w:r>
        <w:r w:rsidR="001C3549">
          <w:rPr>
            <w:noProof/>
            <w:webHidden/>
          </w:rPr>
          <w:fldChar w:fldCharType="begin"/>
        </w:r>
        <w:r w:rsidR="001C3549">
          <w:rPr>
            <w:noProof/>
            <w:webHidden/>
          </w:rPr>
          <w:instrText xml:space="preserve"> PAGEREF _Toc155857453 \h </w:instrText>
        </w:r>
        <w:r w:rsidR="001C3549">
          <w:rPr>
            <w:noProof/>
            <w:webHidden/>
          </w:rPr>
        </w:r>
        <w:r w:rsidR="001C3549">
          <w:rPr>
            <w:noProof/>
            <w:webHidden/>
          </w:rPr>
          <w:fldChar w:fldCharType="separate"/>
        </w:r>
        <w:r w:rsidR="001C3549">
          <w:rPr>
            <w:noProof/>
            <w:webHidden/>
          </w:rPr>
          <w:t>3</w:t>
        </w:r>
        <w:r w:rsidR="001C3549">
          <w:rPr>
            <w:noProof/>
            <w:webHidden/>
          </w:rPr>
          <w:fldChar w:fldCharType="end"/>
        </w:r>
      </w:hyperlink>
    </w:p>
    <w:p w14:paraId="036C7E3D" w14:textId="55AB748E" w:rsidR="001C3549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5857454" w:history="1">
        <w:r w:rsidR="001C3549" w:rsidRPr="0096561E">
          <w:rPr>
            <w:rStyle w:val="Hyperlink"/>
            <w:noProof/>
          </w:rPr>
          <w:t>Version History</w:t>
        </w:r>
        <w:r w:rsidR="001C3549">
          <w:rPr>
            <w:noProof/>
            <w:webHidden/>
          </w:rPr>
          <w:tab/>
        </w:r>
        <w:r w:rsidR="001C3549">
          <w:rPr>
            <w:noProof/>
            <w:webHidden/>
          </w:rPr>
          <w:fldChar w:fldCharType="begin"/>
        </w:r>
        <w:r w:rsidR="001C3549">
          <w:rPr>
            <w:noProof/>
            <w:webHidden/>
          </w:rPr>
          <w:instrText xml:space="preserve"> PAGEREF _Toc155857454 \h </w:instrText>
        </w:r>
        <w:r w:rsidR="001C3549">
          <w:rPr>
            <w:noProof/>
            <w:webHidden/>
          </w:rPr>
        </w:r>
        <w:r w:rsidR="001C3549">
          <w:rPr>
            <w:noProof/>
            <w:webHidden/>
          </w:rPr>
          <w:fldChar w:fldCharType="separate"/>
        </w:r>
        <w:r w:rsidR="001C3549">
          <w:rPr>
            <w:noProof/>
            <w:webHidden/>
          </w:rPr>
          <w:t>4</w:t>
        </w:r>
        <w:r w:rsidR="001C3549">
          <w:rPr>
            <w:noProof/>
            <w:webHidden/>
          </w:rPr>
          <w:fldChar w:fldCharType="end"/>
        </w:r>
      </w:hyperlink>
    </w:p>
    <w:p w14:paraId="5736753C" w14:textId="181314DE" w:rsidR="00886980" w:rsidRDefault="001644D1" w:rsidP="00886980">
      <w:r>
        <w:fldChar w:fldCharType="end"/>
      </w:r>
    </w:p>
    <w:p w14:paraId="57835CD1" w14:textId="77777777" w:rsidR="00886980" w:rsidRPr="00E50AB5" w:rsidRDefault="00886980" w:rsidP="00E50AB5">
      <w:r w:rsidRPr="00E50AB5">
        <w:br w:type="page"/>
      </w:r>
    </w:p>
    <w:p w14:paraId="6FD1B6F8" w14:textId="2C47BF51" w:rsidR="00886980" w:rsidRPr="00886980" w:rsidRDefault="00886980" w:rsidP="00886980">
      <w:pPr>
        <w:pStyle w:val="Heading1"/>
      </w:pPr>
      <w:bookmarkStart w:id="3" w:name="_Toc155857449"/>
      <w:r>
        <w:lastRenderedPageBreak/>
        <w:t>Section 1: Student Information</w:t>
      </w:r>
      <w:bookmarkEnd w:id="3"/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44"/>
      </w:tblGrid>
      <w:tr w:rsidR="00A34A4E" w14:paraId="65D8AA23" w14:textId="77777777" w:rsidTr="00E50AB5">
        <w:tc>
          <w:tcPr>
            <w:tcW w:w="297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64873" w14:textId="77777777" w:rsidR="00A34A4E" w:rsidRPr="00E50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E50AB5">
              <w:rPr>
                <w:rFonts w:eastAsia="Arial" w:cs="Arial"/>
                <w:color w:val="000000"/>
              </w:rPr>
              <w:t>Student ID Number:</w:t>
            </w:r>
          </w:p>
        </w:tc>
        <w:tc>
          <w:tcPr>
            <w:tcW w:w="60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63C6A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A34A4E" w14:paraId="5AB9B8C9" w14:textId="77777777" w:rsidTr="00E50AB5">
        <w:trPr>
          <w:trHeight w:val="353"/>
        </w:trPr>
        <w:tc>
          <w:tcPr>
            <w:tcW w:w="297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3F5AE" w14:textId="77777777" w:rsidR="00A34A4E" w:rsidRPr="00E50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E50AB5">
              <w:rPr>
                <w:rFonts w:eastAsia="Arial" w:cs="Arial"/>
                <w:color w:val="000000"/>
              </w:rPr>
              <w:t>First and Middle Names:</w:t>
            </w:r>
          </w:p>
        </w:tc>
        <w:tc>
          <w:tcPr>
            <w:tcW w:w="60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4DC71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A34A4E" w14:paraId="248C2E99" w14:textId="77777777" w:rsidTr="00E50AB5">
        <w:trPr>
          <w:trHeight w:val="353"/>
        </w:trPr>
        <w:tc>
          <w:tcPr>
            <w:tcW w:w="297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2D9C7" w14:textId="77777777" w:rsidR="00A34A4E" w:rsidRPr="00E50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E50AB5">
              <w:rPr>
                <w:rFonts w:eastAsia="Arial" w:cs="Arial"/>
                <w:color w:val="000000"/>
              </w:rPr>
              <w:t>Surname:</w:t>
            </w:r>
          </w:p>
        </w:tc>
        <w:tc>
          <w:tcPr>
            <w:tcW w:w="60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96A33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A34A4E" w14:paraId="1599FA8C" w14:textId="77777777" w:rsidTr="00E50AB5">
        <w:tc>
          <w:tcPr>
            <w:tcW w:w="297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47807" w14:textId="77777777" w:rsidR="00A34A4E" w:rsidRPr="00E50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E50AB5">
              <w:rPr>
                <w:rFonts w:eastAsia="Arial" w:cs="Arial"/>
                <w:color w:val="000000"/>
              </w:rPr>
              <w:t>University Email Address:</w:t>
            </w:r>
          </w:p>
        </w:tc>
        <w:tc>
          <w:tcPr>
            <w:tcW w:w="60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D7338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A34A4E" w14:paraId="3BA490BA" w14:textId="77777777" w:rsidTr="00E50AB5">
        <w:trPr>
          <w:trHeight w:val="321"/>
        </w:trPr>
        <w:tc>
          <w:tcPr>
            <w:tcW w:w="297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D801C" w14:textId="77777777" w:rsidR="00A34A4E" w:rsidRPr="00E50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E50AB5">
              <w:rPr>
                <w:rFonts w:eastAsia="Arial" w:cs="Arial"/>
                <w:color w:val="000000"/>
              </w:rPr>
              <w:t>Programme of Study:</w:t>
            </w:r>
          </w:p>
        </w:tc>
        <w:tc>
          <w:tcPr>
            <w:tcW w:w="60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8954E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A34A4E" w14:paraId="4BFC23E7" w14:textId="77777777" w:rsidTr="00E50AB5">
        <w:trPr>
          <w:trHeight w:val="321"/>
        </w:trPr>
        <w:tc>
          <w:tcPr>
            <w:tcW w:w="297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0FCAC" w14:textId="77777777" w:rsidR="00A34A4E" w:rsidRPr="00E50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E50AB5">
              <w:rPr>
                <w:rFonts w:eastAsia="Arial" w:cs="Arial"/>
                <w:color w:val="000000"/>
              </w:rPr>
              <w:t>Level of Study:</w:t>
            </w:r>
          </w:p>
        </w:tc>
        <w:tc>
          <w:tcPr>
            <w:tcW w:w="60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A28CD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4E261474" w14:textId="77777777" w:rsidR="00886980" w:rsidRPr="00886980" w:rsidRDefault="00886980" w:rsidP="00886980"/>
    <w:p w14:paraId="22FA302F" w14:textId="25F68F45" w:rsidR="00A34A4E" w:rsidRDefault="00886980" w:rsidP="00886980">
      <w:pPr>
        <w:pStyle w:val="Heading1"/>
      </w:pPr>
      <w:bookmarkStart w:id="4" w:name="_Toc155857450"/>
      <w:r>
        <w:t xml:space="preserve">Section </w:t>
      </w:r>
      <w:r w:rsidR="0019267A">
        <w:t>2</w:t>
      </w:r>
      <w:r>
        <w:t>: Nature of Appeal</w:t>
      </w:r>
      <w:bookmarkEnd w:id="4"/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50AB5" w:rsidRPr="00E50AB5" w14:paraId="5226B61D" w14:textId="77777777" w:rsidTr="00E50AB5">
        <w:tc>
          <w:tcPr>
            <w:tcW w:w="9016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2997A" w14:textId="14D9D531" w:rsidR="00E50AB5" w:rsidRPr="00E50AB5" w:rsidRDefault="00E50AB5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E50AB5">
              <w:rPr>
                <w:color w:val="000000"/>
              </w:rPr>
              <w:t>To which policy or procedure does your appeal relate:</w:t>
            </w:r>
          </w:p>
        </w:tc>
      </w:tr>
      <w:tr w:rsidR="00A34A4E" w14:paraId="140317FE" w14:textId="77777777" w:rsidTr="00886980"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5A46B" w14:textId="04EACE43" w:rsidR="00A34A4E" w:rsidRDefault="00886980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5"/>
            <w:r>
              <w:rPr>
                <w:color w:val="000000"/>
              </w:rPr>
              <w:t xml:space="preserve"> Academic Misconduct</w:t>
            </w:r>
          </w:p>
        </w:tc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17570" w14:textId="157899B4" w:rsidR="00A34A4E" w:rsidRDefault="00886980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"/>
            <w:r>
              <w:rPr>
                <w:color w:val="000000"/>
              </w:rPr>
              <w:t xml:space="preserve"> Extenuating Circumstances</w:t>
            </w:r>
          </w:p>
        </w:tc>
      </w:tr>
      <w:tr w:rsidR="00886980" w14:paraId="6E1E7989" w14:textId="77777777" w:rsidTr="00886980"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C3CBD" w14:textId="64D486EC" w:rsidR="00886980" w:rsidRDefault="00921EDC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Bursary Policy</w:t>
            </w:r>
          </w:p>
        </w:tc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2E52B" w14:textId="30E19CAC" w:rsidR="00886980" w:rsidRPr="00886980" w:rsidRDefault="00886980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"/>
            <w:r>
              <w:rPr>
                <w:color w:val="000000"/>
              </w:rPr>
              <w:t xml:space="preserve"> Research Misconduct</w:t>
            </w:r>
          </w:p>
        </w:tc>
      </w:tr>
      <w:tr w:rsidR="00886980" w14:paraId="3CE7F519" w14:textId="77777777" w:rsidTr="00886980"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681DE" w14:textId="45A852DF" w:rsidR="00886980" w:rsidRDefault="00921EDC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Complaints Procedure for Students</w:t>
            </w:r>
            <w:r w:rsidDel="00921EDC">
              <w:rPr>
                <w:color w:val="000000"/>
              </w:rPr>
              <w:t xml:space="preserve"> </w:t>
            </w:r>
          </w:p>
        </w:tc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0FF89" w14:textId="275AB258" w:rsidR="00886980" w:rsidRDefault="00886980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 xml:space="preserve"> Support to Study</w:t>
            </w:r>
          </w:p>
        </w:tc>
      </w:tr>
      <w:tr w:rsidR="00886980" w14:paraId="3C2E58AD" w14:textId="77777777" w:rsidTr="00886980"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2A11E" w14:textId="42BAFC0B" w:rsidR="00886980" w:rsidRDefault="00921EDC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Declaration of Criminal Conviction</w:t>
            </w:r>
            <w:r w:rsidDel="00921EDC">
              <w:rPr>
                <w:color w:val="000000"/>
              </w:rPr>
              <w:t xml:space="preserve"> </w:t>
            </w:r>
          </w:p>
        </w:tc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BB7FE" w14:textId="5CC85AD0" w:rsidR="00886980" w:rsidRDefault="00886980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  <w:r>
              <w:rPr>
                <w:color w:val="000000"/>
              </w:rPr>
              <w:t xml:space="preserve"> Undergraduate Student Attendance</w:t>
            </w:r>
          </w:p>
        </w:tc>
      </w:tr>
      <w:tr w:rsidR="00921EDC" w14:paraId="75A0F933" w14:textId="77777777" w:rsidTr="00886980"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6A49B" w14:textId="67829B94" w:rsidR="00921EDC" w:rsidRDefault="00921EDC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Disciplinary Procedure for Students</w:t>
            </w:r>
          </w:p>
        </w:tc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57B1F" w14:textId="77777777" w:rsidR="00921EDC" w:rsidRDefault="00921EDC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5BC17A1" w14:textId="77777777" w:rsidR="00A34A4E" w:rsidRDefault="00A34A4E"/>
    <w:p w14:paraId="2CB77C9C" w14:textId="45EA68E2" w:rsidR="00886980" w:rsidRPr="00886980" w:rsidRDefault="00886980" w:rsidP="00886980">
      <w:pPr>
        <w:pStyle w:val="Heading1"/>
      </w:pPr>
      <w:bookmarkStart w:id="10" w:name="_Toc155857451"/>
      <w:r w:rsidRPr="00886980">
        <w:t xml:space="preserve">Section </w:t>
      </w:r>
      <w:r w:rsidR="0019267A">
        <w:t>3</w:t>
      </w:r>
      <w:r w:rsidRPr="00886980">
        <w:t>: Grounds for Appeal</w:t>
      </w:r>
      <w:bookmarkEnd w:id="10"/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34A4E" w:rsidRPr="00E50AB5" w14:paraId="1198BD65" w14:textId="77777777" w:rsidTr="00E50AB5">
        <w:tc>
          <w:tcPr>
            <w:tcW w:w="9016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E1217" w14:textId="77777777" w:rsidR="00A34A4E" w:rsidRPr="00E50A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E50AB5">
              <w:rPr>
                <w:color w:val="000000"/>
              </w:rPr>
              <w:t xml:space="preserve">On which grounds are you appealing (tick all that apply): </w:t>
            </w:r>
          </w:p>
        </w:tc>
      </w:tr>
      <w:tr w:rsidR="00E50AB5" w14:paraId="7992D461" w14:textId="77777777" w:rsidTr="009F788A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AC776" w14:textId="3E38CB44" w:rsidR="00E50AB5" w:rsidRDefault="00E50AB5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There has been a significant procedural flaw or irregularity that compromised the fairness of the process.</w:t>
            </w:r>
          </w:p>
        </w:tc>
      </w:tr>
      <w:tr w:rsidR="00E50AB5" w14:paraId="676EF4AD" w14:textId="77777777" w:rsidTr="00B91B43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177D6" w14:textId="7CBC52D8" w:rsidR="00E50AB5" w:rsidRDefault="00E50AB5" w:rsidP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2"/>
            <w:r>
              <w:rPr>
                <w:color w:val="000000"/>
              </w:rPr>
              <w:t xml:space="preserve"> New material evidence (which must be supported by explanation of why it is being submitted at this late stage).</w:t>
            </w:r>
          </w:p>
        </w:tc>
      </w:tr>
      <w:tr w:rsidR="00E50AB5" w14:paraId="5FB97206" w14:textId="77777777" w:rsidTr="00583944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635C3" w14:textId="31EF813A" w:rsidR="00E50AB5" w:rsidRDefault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3"/>
            <w:r>
              <w:rPr>
                <w:color w:val="000000"/>
              </w:rPr>
              <w:t xml:space="preserve"> There is a bias or reasonable perception of bias during the procedure.</w:t>
            </w:r>
          </w:p>
        </w:tc>
      </w:tr>
      <w:tr w:rsidR="00E50AB5" w14:paraId="70815A31" w14:textId="77777777" w:rsidTr="00292C10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0B01E" w14:textId="30603299" w:rsidR="00E50AB5" w:rsidRDefault="00E5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4"/>
            <w:r>
              <w:rPr>
                <w:color w:val="000000"/>
              </w:rPr>
              <w:t xml:space="preserve"> An outcome, decision and/or penalty, being unreasonable or disproportionate.</w:t>
            </w:r>
          </w:p>
        </w:tc>
      </w:tr>
      <w:tr w:rsidR="00A34A4E" w14:paraId="4B066F96" w14:textId="77777777" w:rsidTr="00886980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E0E33" w14:textId="77777777" w:rsidR="00A34A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Write a statement to support your grounds for appeal.</w:t>
            </w:r>
          </w:p>
          <w:p w14:paraId="722392DD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22EF2ADE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116AD8A8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50F39D11" w14:textId="1C4889E9" w:rsidR="00A34A4E" w:rsidRPr="00886980" w:rsidRDefault="00886980" w:rsidP="00886980">
      <w:pPr>
        <w:pStyle w:val="Heading1"/>
      </w:pPr>
      <w:bookmarkStart w:id="15" w:name="_Toc155857452"/>
      <w:r w:rsidRPr="00886980">
        <w:lastRenderedPageBreak/>
        <w:t xml:space="preserve">Section </w:t>
      </w:r>
      <w:r w:rsidR="0019267A">
        <w:t>4</w:t>
      </w:r>
      <w:r w:rsidRPr="00886980">
        <w:t>: Evidence</w:t>
      </w:r>
      <w:bookmarkEnd w:id="15"/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34A4E" w14:paraId="409FDC8A" w14:textId="77777777" w:rsidTr="00E50AB5">
        <w:tc>
          <w:tcPr>
            <w:tcW w:w="9016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1FC7B" w14:textId="77777777" w:rsidR="00A34A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Please list all evidence that supports your appeal. Documentary evidence that corroborates the circumstances of your appeal should be submitted with this Form.</w:t>
            </w:r>
          </w:p>
        </w:tc>
      </w:tr>
      <w:tr w:rsidR="00A34A4E" w14:paraId="394A8924" w14:textId="77777777" w:rsidTr="00E50AB5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C7C83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58A19A62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4AAC97EA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5A4CBE94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4D38140C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7B65F9DB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122F3D2C" w14:textId="77777777" w:rsidR="00A34A4E" w:rsidRDefault="00A3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7B7C00D7" w14:textId="77777777" w:rsidR="00A34A4E" w:rsidRDefault="00A34A4E"/>
    <w:p w14:paraId="5F394558" w14:textId="357739EF" w:rsidR="00A34A4E" w:rsidRPr="001644D1" w:rsidRDefault="001644D1" w:rsidP="001644D1">
      <w:pPr>
        <w:pStyle w:val="Heading1"/>
      </w:pPr>
      <w:bookmarkStart w:id="16" w:name="_Toc155857453"/>
      <w:r w:rsidRPr="001644D1">
        <w:t xml:space="preserve">Section </w:t>
      </w:r>
      <w:r w:rsidR="0019267A">
        <w:t>5</w:t>
      </w:r>
      <w:r w:rsidRPr="001644D1">
        <w:t>: Certification of Form</w:t>
      </w:r>
      <w:bookmarkEnd w:id="16"/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6281D" w14:paraId="7298F368" w14:textId="77777777" w:rsidTr="0066281D">
        <w:tc>
          <w:tcPr>
            <w:tcW w:w="9016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89F6C" w14:textId="722EBD52" w:rsidR="0066281D" w:rsidRDefault="0066281D" w:rsidP="0066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By signing in this section, you confirm that you agree with the statements below and give your consent for the information provided in the form to be used as detailed below.</w:t>
            </w:r>
          </w:p>
        </w:tc>
      </w:tr>
      <w:tr w:rsidR="00A34A4E" w14:paraId="73D897F2" w14:textId="77777777" w:rsidTr="001644D1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AFA51" w14:textId="77777777" w:rsidR="00A34A4E" w:rsidRDefault="00000000" w:rsidP="001644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02" w:hanging="602"/>
            </w:pPr>
            <w:r>
              <w:rPr>
                <w:color w:val="000000"/>
              </w:rPr>
              <w:t>Confidentiality</w:t>
            </w:r>
          </w:p>
          <w:p w14:paraId="01B1C29B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02"/>
            </w:pPr>
            <w:r>
              <w:rPr>
                <w:color w:val="000000"/>
              </w:rPr>
              <w:t>In accordance with the General Data Protection Regulations 2018 we require your consent to:</w:t>
            </w:r>
          </w:p>
          <w:p w14:paraId="1B836B3C" w14:textId="77777777" w:rsidR="00A34A4E" w:rsidRDefault="00000000" w:rsidP="001644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color w:val="000000"/>
              </w:rPr>
              <w:t>Hold elements of the information you have provided on an electronic database</w:t>
            </w:r>
          </w:p>
          <w:p w14:paraId="1BB595BF" w14:textId="23F46BDE" w:rsidR="00A34A4E" w:rsidRDefault="00000000" w:rsidP="001644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color w:val="000000"/>
              </w:rPr>
              <w:t xml:space="preserve">Disclose the information to </w:t>
            </w:r>
            <w:proofErr w:type="spellStart"/>
            <w:r>
              <w:rPr>
                <w:color w:val="000000"/>
              </w:rPr>
              <w:t>authorised</w:t>
            </w:r>
            <w:proofErr w:type="spellEnd"/>
            <w:r>
              <w:rPr>
                <w:color w:val="000000"/>
              </w:rPr>
              <w:t xml:space="preserve"> members of </w:t>
            </w:r>
            <w:r w:rsidR="00901C63">
              <w:rPr>
                <w:color w:val="000000"/>
              </w:rPr>
              <w:t>University</w:t>
            </w:r>
            <w:r>
              <w:rPr>
                <w:color w:val="000000"/>
              </w:rPr>
              <w:t xml:space="preserve"> staff for purposes connected with the investigation of your case</w:t>
            </w:r>
          </w:p>
          <w:p w14:paraId="203E8CAA" w14:textId="77777777" w:rsidR="00A34A4E" w:rsidRDefault="00000000" w:rsidP="001644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02" w:hanging="602"/>
            </w:pPr>
            <w:r>
              <w:rPr>
                <w:color w:val="000000"/>
              </w:rPr>
              <w:t>False claims</w:t>
            </w:r>
          </w:p>
          <w:p w14:paraId="7206397E" w14:textId="7E5B1FD2" w:rsidR="00A34A4E" w:rsidRDefault="00000000" w:rsidP="0066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02"/>
              <w:rPr>
                <w:color w:val="000000"/>
              </w:rPr>
            </w:pPr>
            <w:r>
              <w:rPr>
                <w:color w:val="000000"/>
              </w:rPr>
              <w:t>Submission of false or fraudulent documentation is an offence, which will be dealt with under the Disciplinary Procedure</w:t>
            </w:r>
            <w:r w:rsidR="0066281D">
              <w:rPr>
                <w:color w:val="000000"/>
              </w:rPr>
              <w:t xml:space="preserve"> for Students</w:t>
            </w:r>
            <w:r>
              <w:rPr>
                <w:color w:val="000000"/>
              </w:rPr>
              <w:t xml:space="preserve">. The </w:t>
            </w:r>
            <w:r w:rsidR="0066281D">
              <w:rPr>
                <w:color w:val="000000"/>
              </w:rPr>
              <w:t>University</w:t>
            </w:r>
            <w:r>
              <w:rPr>
                <w:color w:val="000000"/>
              </w:rPr>
              <w:t xml:space="preserve"> reserves the right to </w:t>
            </w:r>
            <w:r w:rsidR="00901C63">
              <w:rPr>
                <w:color w:val="000000"/>
              </w:rPr>
              <w:t>confirm</w:t>
            </w:r>
            <w:r>
              <w:rPr>
                <w:color w:val="000000"/>
              </w:rPr>
              <w:t xml:space="preserve"> the validity of document(s) submitted by contacting any relevant third parties directly.</w:t>
            </w:r>
          </w:p>
        </w:tc>
      </w:tr>
      <w:tr w:rsidR="001644D1" w14:paraId="6FDDDCCC" w14:textId="77777777" w:rsidTr="001644D1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3AC18" w14:textId="027CF5DD" w:rsidR="001644D1" w:rsidRDefault="001644D1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1644D1" w14:paraId="5E42EFAE" w14:textId="77777777" w:rsidTr="001644D1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97037" w14:textId="1EE9981B" w:rsidR="001644D1" w:rsidRDefault="001644D1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Signature:</w:t>
            </w:r>
          </w:p>
        </w:tc>
      </w:tr>
      <w:tr w:rsidR="001644D1" w14:paraId="5F2E6586" w14:textId="77777777" w:rsidTr="001644D1">
        <w:tc>
          <w:tcPr>
            <w:tcW w:w="9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2CDD0" w14:textId="1123A124" w:rsidR="001644D1" w:rsidRDefault="001644D1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</w:tr>
    </w:tbl>
    <w:p w14:paraId="574A24CF" w14:textId="77777777" w:rsidR="00A34A4E" w:rsidRPr="00E50AB5" w:rsidRDefault="00A34A4E" w:rsidP="00E50AB5"/>
    <w:p w14:paraId="2446D10B" w14:textId="77777777" w:rsidR="001644D1" w:rsidRPr="00E50AB5" w:rsidRDefault="001644D1" w:rsidP="00E50AB5">
      <w:r w:rsidRPr="00E50AB5">
        <w:br w:type="page"/>
      </w:r>
    </w:p>
    <w:p w14:paraId="527309D1" w14:textId="3AFA02B6" w:rsidR="00A34A4E" w:rsidRDefault="00000000">
      <w:pPr>
        <w:pStyle w:val="Heading1"/>
      </w:pPr>
      <w:bookmarkStart w:id="17" w:name="_Toc155857454"/>
      <w:r>
        <w:lastRenderedPageBreak/>
        <w:t>Version History</w:t>
      </w:r>
      <w:bookmarkEnd w:id="17"/>
    </w:p>
    <w:tbl>
      <w:tblPr>
        <w:tblStyle w:val="a4"/>
        <w:tblW w:w="9016" w:type="dxa"/>
        <w:tblLayout w:type="fixed"/>
        <w:tblLook w:val="0400" w:firstRow="0" w:lastRow="0" w:firstColumn="0" w:lastColumn="0" w:noHBand="0" w:noVBand="1"/>
      </w:tblPr>
      <w:tblGrid>
        <w:gridCol w:w="1810"/>
        <w:gridCol w:w="1651"/>
        <w:gridCol w:w="1753"/>
        <w:gridCol w:w="1732"/>
        <w:gridCol w:w="2070"/>
      </w:tblGrid>
      <w:tr w:rsidR="00A34A4E" w14:paraId="65358009" w14:textId="77777777" w:rsidTr="001644D1"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C70FE" w14:textId="5FF35F24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Title: </w:t>
            </w:r>
            <w:r w:rsidR="001644D1">
              <w:rPr>
                <w:b/>
                <w:color w:val="000000"/>
              </w:rPr>
              <w:t>Appeal Form for Students</w:t>
            </w:r>
          </w:p>
          <w:p w14:paraId="6997807C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Approved by: Quality Team</w:t>
            </w:r>
          </w:p>
          <w:p w14:paraId="7429086F" w14:textId="447D5233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Location: Academic Handbook/ Policies and Procedures/ </w:t>
            </w:r>
            <w:r w:rsidR="001644D1">
              <w:rPr>
                <w:b/>
                <w:color w:val="000000"/>
              </w:rPr>
              <w:t>Forms Library</w:t>
            </w:r>
          </w:p>
        </w:tc>
      </w:tr>
      <w:tr w:rsidR="00A34A4E" w14:paraId="13CB6CCA" w14:textId="77777777" w:rsidTr="001644D1">
        <w:trPr>
          <w:trHeight w:val="2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DC0E5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Version Number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DF30D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Approved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1F5BD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Published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D4074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Owner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E9874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Proposed Next Review Date</w:t>
            </w:r>
          </w:p>
        </w:tc>
      </w:tr>
      <w:tr w:rsidR="00630BBC" w:rsidRPr="00886980" w14:paraId="3CABBF89" w14:textId="77777777" w:rsidTr="001644D1">
        <w:trPr>
          <w:trHeight w:val="2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1B9DA" w14:textId="77D5E31D" w:rsidR="00630BBC" w:rsidRDefault="00630BBC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23.3.2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3C3B3" w14:textId="26A6A4BC" w:rsidR="00630BBC" w:rsidRDefault="00630BBC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March 2024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78C42" w14:textId="5698D97C" w:rsidR="00630BBC" w:rsidRDefault="00630BBC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March 2024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C9EE9" w14:textId="7D0C7DFB" w:rsidR="00630BBC" w:rsidRDefault="00630BBC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Quality Assurance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92FCD" w14:textId="03D9674D" w:rsidR="00630BBC" w:rsidRDefault="00630BBC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May 2025</w:t>
            </w:r>
          </w:p>
        </w:tc>
      </w:tr>
      <w:tr w:rsidR="0019267A" w:rsidRPr="00886980" w14:paraId="651C7F08" w14:textId="77777777" w:rsidTr="001644D1">
        <w:trPr>
          <w:trHeight w:val="2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60ACB" w14:textId="7A08C5B7" w:rsidR="0019267A" w:rsidRPr="00886980" w:rsidRDefault="0019267A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23.3.1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8B34A" w14:textId="340804C1" w:rsidR="0019267A" w:rsidRPr="00886980" w:rsidRDefault="0019267A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January 2024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2D170" w14:textId="36413A5F" w:rsidR="0019267A" w:rsidRPr="00886980" w:rsidRDefault="0019267A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January 2024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97EF8" w14:textId="65AF5356" w:rsidR="0019267A" w:rsidRPr="00886980" w:rsidRDefault="0019267A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Quality Assurance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8BC4B" w14:textId="7F3F7DC5" w:rsidR="0019267A" w:rsidRPr="00886980" w:rsidRDefault="0019267A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May 2025</w:t>
            </w:r>
          </w:p>
        </w:tc>
      </w:tr>
      <w:tr w:rsidR="00A34A4E" w:rsidRPr="00886980" w14:paraId="09D88D23" w14:textId="77777777" w:rsidTr="001644D1">
        <w:trPr>
          <w:trHeight w:val="2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94244" w14:textId="454F42CA" w:rsidR="00A34A4E" w:rsidRPr="00886980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color w:val="000000"/>
              </w:rPr>
            </w:pPr>
            <w:r w:rsidRPr="00886980">
              <w:rPr>
                <w:bCs/>
                <w:color w:val="000000"/>
              </w:rPr>
              <w:t>23.3.0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03672" w14:textId="45A93F36" w:rsidR="00A34A4E" w:rsidRPr="00886980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color w:val="000000"/>
              </w:rPr>
            </w:pPr>
            <w:r w:rsidRPr="00886980">
              <w:rPr>
                <w:bCs/>
                <w:color w:val="000000"/>
              </w:rPr>
              <w:t>December 2023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5841D" w14:textId="5BE5317B" w:rsidR="00A34A4E" w:rsidRPr="00886980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color w:val="000000"/>
              </w:rPr>
            </w:pPr>
            <w:r w:rsidRPr="00886980">
              <w:rPr>
                <w:bCs/>
                <w:color w:val="000000"/>
              </w:rPr>
              <w:t>December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A1810" w14:textId="3A8CE862" w:rsidR="00A34A4E" w:rsidRPr="00886980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color w:val="000000"/>
              </w:rPr>
            </w:pPr>
            <w:r w:rsidRPr="00886980">
              <w:rPr>
                <w:bCs/>
                <w:color w:val="000000"/>
              </w:rPr>
              <w:t>Quality Assurance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9FB3F" w14:textId="0382A060" w:rsidR="00A34A4E" w:rsidRPr="00886980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color w:val="000000"/>
              </w:rPr>
            </w:pPr>
            <w:r w:rsidRPr="00886980">
              <w:rPr>
                <w:bCs/>
                <w:color w:val="000000"/>
              </w:rPr>
              <w:t>May 2025</w:t>
            </w:r>
          </w:p>
        </w:tc>
      </w:tr>
      <w:tr w:rsidR="00A34A4E" w:rsidRPr="001644D1" w14:paraId="67AD9398" w14:textId="77777777" w:rsidTr="001644D1">
        <w:trPr>
          <w:trHeight w:val="24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B24BF" w14:textId="3EE38F6B" w:rsidR="00A34A4E" w:rsidRPr="001644D1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i/>
                <w:iCs/>
                <w:color w:val="000000"/>
              </w:rPr>
            </w:pPr>
            <w:r w:rsidRPr="001644D1">
              <w:rPr>
                <w:bCs/>
                <w:i/>
                <w:iCs/>
                <w:color w:val="000000"/>
              </w:rPr>
              <w:t>Version numbering system revised March 2023</w:t>
            </w:r>
          </w:p>
        </w:tc>
      </w:tr>
      <w:tr w:rsidR="00A34A4E" w14:paraId="31D129EE" w14:textId="77777777" w:rsidTr="001644D1">
        <w:trPr>
          <w:trHeight w:val="2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410C1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2.1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36A1E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August 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AEEF8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August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E737E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Quality Assurance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1629F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May 2023</w:t>
            </w:r>
          </w:p>
        </w:tc>
      </w:tr>
      <w:tr w:rsidR="00A34A4E" w14:paraId="45502F5C" w14:textId="77777777" w:rsidTr="001644D1">
        <w:trPr>
          <w:trHeight w:val="2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26F55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5E63C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June 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E5F92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June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51A5D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Quality Assurance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12FB6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May 2023</w:t>
            </w:r>
          </w:p>
        </w:tc>
      </w:tr>
      <w:tr w:rsidR="00A34A4E" w14:paraId="3B740AC2" w14:textId="77777777" w:rsidTr="001644D1">
        <w:trPr>
          <w:trHeight w:val="2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5B8E2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2957D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March 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D98A7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March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61A02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Quality Assurance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08250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May 2023</w:t>
            </w:r>
          </w:p>
        </w:tc>
      </w:tr>
      <w:tr w:rsidR="00A34A4E" w14:paraId="013B7237" w14:textId="77777777" w:rsidTr="001644D1">
        <w:trPr>
          <w:trHeight w:val="24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D8A31" w14:textId="77777777" w:rsidR="00A34A4E" w:rsidRDefault="00A34A4E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A34A4E" w14:paraId="05C045E4" w14:textId="77777777" w:rsidTr="001644D1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9578F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Referenced documents</w:t>
            </w:r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0EFE6" w14:textId="3C35D5E5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Academic Misconduct Policy; </w:t>
            </w:r>
            <w:r w:rsidRPr="00886980">
              <w:t xml:space="preserve">Complaints Procedure for Students; Declaration of Criminal Conviction; </w:t>
            </w:r>
            <w:r>
              <w:rPr>
                <w:color w:val="000000"/>
              </w:rPr>
              <w:t>Disciplinary Procedure for Students; Extenuating Circumstances Policy; Research Misconduct Policy; Support to Study Policy; Undergraduate Student Attendance Policy.</w:t>
            </w:r>
          </w:p>
        </w:tc>
      </w:tr>
      <w:tr w:rsidR="00A34A4E" w14:paraId="0CDBE436" w14:textId="77777777" w:rsidTr="001644D1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5EE8E" w14:textId="77777777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External Reference Point(s)</w:t>
            </w:r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D964D" w14:textId="6245B389" w:rsidR="00A34A4E" w:rsidRDefault="00000000" w:rsidP="0016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UK Quality Code Theme: Concerns, Complaints and Appeals.</w:t>
            </w:r>
          </w:p>
        </w:tc>
      </w:tr>
    </w:tbl>
    <w:p w14:paraId="6ACEB618" w14:textId="77777777" w:rsidR="00A34A4E" w:rsidRDefault="00A34A4E"/>
    <w:sectPr w:rsidR="00A34A4E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F906" w14:textId="77777777" w:rsidR="004B757D" w:rsidRDefault="004B757D">
      <w:pPr>
        <w:spacing w:after="0" w:line="240" w:lineRule="auto"/>
      </w:pPr>
      <w:r>
        <w:separator/>
      </w:r>
    </w:p>
  </w:endnote>
  <w:endnote w:type="continuationSeparator" w:id="0">
    <w:p w14:paraId="7816DCF2" w14:textId="77777777" w:rsidR="004B757D" w:rsidRDefault="004B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font1453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D17E" w14:textId="77777777" w:rsidR="00A34A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A81BF04" w14:textId="77777777" w:rsidR="00A34A4E" w:rsidRDefault="00A34A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8673" w14:textId="2899BF9B" w:rsidR="00A34A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125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25B3" w14:textId="77777777" w:rsidR="004B757D" w:rsidRDefault="004B757D">
      <w:pPr>
        <w:spacing w:after="0" w:line="240" w:lineRule="auto"/>
      </w:pPr>
      <w:r>
        <w:separator/>
      </w:r>
    </w:p>
  </w:footnote>
  <w:footnote w:type="continuationSeparator" w:id="0">
    <w:p w14:paraId="125F91C3" w14:textId="77777777" w:rsidR="004B757D" w:rsidRDefault="004B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F65E" w14:textId="71E5D01C" w:rsidR="00A34A4E" w:rsidRDefault="00000000" w:rsidP="001644D1">
    <w:pPr>
      <w:pStyle w:val="Header"/>
    </w:pPr>
    <w:r>
      <w:t>Appeal Form</w:t>
    </w:r>
    <w:r w:rsidR="001644D1">
      <w:t xml:space="preserve"> for Students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7DC2" w14:textId="7A1DF1AC" w:rsidR="00A34A4E" w:rsidRDefault="00886980" w:rsidP="00886980">
    <w:pPr>
      <w:tabs>
        <w:tab w:val="left" w:pos="5149"/>
      </w:tabs>
      <w:ind w:hanging="709"/>
    </w:pPr>
    <w:r w:rsidRPr="00574407">
      <w:rPr>
        <w:noProof/>
      </w:rPr>
      <w:drawing>
        <wp:inline distT="0" distB="0" distL="0" distR="0" wp14:anchorId="19B113C5" wp14:editId="395034B9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A7B5C"/>
    <w:multiLevelType w:val="multilevel"/>
    <w:tmpl w:val="9A54F626"/>
    <w:lvl w:ilvl="0">
      <w:start w:val="1"/>
      <w:numFmt w:val="bullet"/>
      <w:lvlText w:val="●"/>
      <w:lvlJc w:val="left"/>
      <w:pPr>
        <w:ind w:left="1134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268" w:hanging="565"/>
      </w:pPr>
      <w:rPr>
        <w:rFonts w:ascii="font1453" w:eastAsia="font1453" w:hAnsi="font1453" w:cs="font1453"/>
      </w:rPr>
    </w:lvl>
    <w:lvl w:ilvl="2">
      <w:start w:val="1"/>
      <w:numFmt w:val="bullet"/>
      <w:lvlText w:val="●"/>
      <w:lvlJc w:val="left"/>
      <w:pPr>
        <w:ind w:left="3402" w:hanging="567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DFD0D0D"/>
    <w:multiLevelType w:val="multilevel"/>
    <w:tmpl w:val="9B78F7AE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1.%2."/>
      <w:lvlJc w:val="left"/>
      <w:pPr>
        <w:ind w:left="2268" w:hanging="565"/>
      </w:pPr>
    </w:lvl>
    <w:lvl w:ilvl="2">
      <w:start w:val="1"/>
      <w:numFmt w:val="decimal"/>
      <w:lvlText w:val="%1.%2.%3."/>
      <w:lvlJc w:val="left"/>
      <w:pPr>
        <w:ind w:left="3686" w:hanging="851"/>
      </w:pPr>
    </w:lvl>
    <w:lvl w:ilvl="3">
      <w:start w:val="1"/>
      <w:numFmt w:val="bullet"/>
      <w:lvlText w:val="●"/>
      <w:lvlJc w:val="left"/>
      <w:pPr>
        <w:ind w:left="4536" w:hanging="566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592" w:hanging="792"/>
      </w:pPr>
    </w:lvl>
    <w:lvl w:ilvl="5">
      <w:start w:val="1"/>
      <w:numFmt w:val="decimal"/>
      <w:lvlText w:val="%1.%2.%3.●.%5.%6."/>
      <w:lvlJc w:val="left"/>
      <w:pPr>
        <w:ind w:left="3096" w:hanging="935"/>
      </w:pPr>
    </w:lvl>
    <w:lvl w:ilvl="6">
      <w:start w:val="1"/>
      <w:numFmt w:val="decimal"/>
      <w:lvlText w:val="%1.%2.%3.●.%5.%6.%7."/>
      <w:lvlJc w:val="left"/>
      <w:pPr>
        <w:ind w:left="3600" w:hanging="1080"/>
      </w:pPr>
    </w:lvl>
    <w:lvl w:ilvl="7">
      <w:start w:val="1"/>
      <w:numFmt w:val="decimal"/>
      <w:lvlText w:val="%1.%2.%3.●.%5.%6.%7.%8."/>
      <w:lvlJc w:val="left"/>
      <w:pPr>
        <w:ind w:left="4104" w:hanging="1224"/>
      </w:pPr>
    </w:lvl>
    <w:lvl w:ilvl="8">
      <w:start w:val="1"/>
      <w:numFmt w:val="decimal"/>
      <w:lvlText w:val="%1.%2.%3.●.%5.%6.%7.%8.%9."/>
      <w:lvlJc w:val="left"/>
      <w:pPr>
        <w:ind w:left="4680" w:hanging="1440"/>
      </w:pPr>
    </w:lvl>
  </w:abstractNum>
  <w:abstractNum w:abstractNumId="8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91901">
    <w:abstractNumId w:val="7"/>
  </w:num>
  <w:num w:numId="2" w16cid:durableId="1038431067">
    <w:abstractNumId w:val="1"/>
  </w:num>
  <w:num w:numId="3" w16cid:durableId="1961765612">
    <w:abstractNumId w:val="2"/>
  </w:num>
  <w:num w:numId="4" w16cid:durableId="1561863219">
    <w:abstractNumId w:val="12"/>
  </w:num>
  <w:num w:numId="5" w16cid:durableId="1834638373">
    <w:abstractNumId w:val="6"/>
  </w:num>
  <w:num w:numId="6" w16cid:durableId="1303341833">
    <w:abstractNumId w:val="10"/>
  </w:num>
  <w:num w:numId="7" w16cid:durableId="2062360239">
    <w:abstractNumId w:val="5"/>
  </w:num>
  <w:num w:numId="8" w16cid:durableId="1754399277">
    <w:abstractNumId w:val="4"/>
  </w:num>
  <w:num w:numId="9" w16cid:durableId="430125048">
    <w:abstractNumId w:val="11"/>
  </w:num>
  <w:num w:numId="10" w16cid:durableId="901791854">
    <w:abstractNumId w:val="0"/>
  </w:num>
  <w:num w:numId="11" w16cid:durableId="1969581517">
    <w:abstractNumId w:val="0"/>
  </w:num>
  <w:num w:numId="12" w16cid:durableId="845748801">
    <w:abstractNumId w:val="9"/>
  </w:num>
  <w:num w:numId="13" w16cid:durableId="1544513014">
    <w:abstractNumId w:val="3"/>
  </w:num>
  <w:num w:numId="14" w16cid:durableId="1476875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4E"/>
    <w:rsid w:val="000B1F40"/>
    <w:rsid w:val="000D0F73"/>
    <w:rsid w:val="00142CC8"/>
    <w:rsid w:val="001644D1"/>
    <w:rsid w:val="0019267A"/>
    <w:rsid w:val="001C3549"/>
    <w:rsid w:val="004B757D"/>
    <w:rsid w:val="0051086B"/>
    <w:rsid w:val="00630BBC"/>
    <w:rsid w:val="0066281D"/>
    <w:rsid w:val="0079766E"/>
    <w:rsid w:val="00886980"/>
    <w:rsid w:val="00901C63"/>
    <w:rsid w:val="00921EDC"/>
    <w:rsid w:val="00936545"/>
    <w:rsid w:val="00A34A4E"/>
    <w:rsid w:val="00CE7087"/>
    <w:rsid w:val="00D62A1F"/>
    <w:rsid w:val="00E50AB5"/>
    <w:rsid w:val="00E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60F0E"/>
  <w15:docId w15:val="{5B2FE872-2805-0542-9D2F-D200094E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55"/>
    <w:rPr>
      <w:rFonts w:eastAsia="Calibri" w:cs="Calibri"/>
    </w:rPr>
  </w:style>
  <w:style w:type="paragraph" w:styleId="Heading1">
    <w:name w:val="heading 1"/>
    <w:basedOn w:val="Normal"/>
    <w:next w:val="Normal"/>
    <w:uiPriority w:val="9"/>
    <w:qFormat/>
    <w:rsid w:val="00E81255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E81255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E81255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8125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81255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812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E81255"/>
    <w:pPr>
      <w:numPr>
        <w:numId w:val="3"/>
      </w:numPr>
    </w:pPr>
  </w:style>
  <w:style w:type="numbering" w:customStyle="1" w:styleId="CurrentList1">
    <w:name w:val="Current List1"/>
    <w:uiPriority w:val="99"/>
    <w:rsid w:val="00E81255"/>
    <w:pPr>
      <w:numPr>
        <w:numId w:val="4"/>
      </w:numPr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numbering" w:customStyle="1" w:styleId="CurrentList2">
    <w:name w:val="Current List2"/>
    <w:uiPriority w:val="99"/>
    <w:rsid w:val="00E81255"/>
    <w:pPr>
      <w:numPr>
        <w:numId w:val="5"/>
      </w:numPr>
    </w:pPr>
  </w:style>
  <w:style w:type="numbering" w:customStyle="1" w:styleId="CurrentList3">
    <w:name w:val="Current List3"/>
    <w:uiPriority w:val="99"/>
    <w:rsid w:val="00E81255"/>
    <w:pPr>
      <w:numPr>
        <w:numId w:val="6"/>
      </w:numPr>
    </w:pPr>
  </w:style>
  <w:style w:type="numbering" w:customStyle="1" w:styleId="CurrentList4">
    <w:name w:val="Current List4"/>
    <w:uiPriority w:val="99"/>
    <w:rsid w:val="00E81255"/>
    <w:pPr>
      <w:numPr>
        <w:numId w:val="7"/>
      </w:numPr>
    </w:pPr>
  </w:style>
  <w:style w:type="numbering" w:customStyle="1" w:styleId="CurrentList5">
    <w:name w:val="Current List5"/>
    <w:uiPriority w:val="99"/>
    <w:rsid w:val="00E81255"/>
    <w:pPr>
      <w:numPr>
        <w:numId w:val="8"/>
      </w:numPr>
    </w:pPr>
  </w:style>
  <w:style w:type="numbering" w:customStyle="1" w:styleId="CurrentList6">
    <w:name w:val="Current List6"/>
    <w:uiPriority w:val="99"/>
    <w:rsid w:val="00E81255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8125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1255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E81255"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E812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81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255"/>
    <w:rPr>
      <w:rFonts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255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E81255"/>
    <w:rPr>
      <w:rFonts w:eastAsia="Calibri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E81255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E81255"/>
    <w:pPr>
      <w:numPr>
        <w:numId w:val="11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E81255"/>
    <w:pPr>
      <w:numPr>
        <w:numId w:val="12"/>
      </w:numPr>
    </w:pPr>
  </w:style>
  <w:style w:type="paragraph" w:customStyle="1" w:styleId="MultilevelBulletList1">
    <w:name w:val="Multilevel Bullet List 1"/>
    <w:basedOn w:val="MultilevelList"/>
    <w:autoRedefine/>
    <w:qFormat/>
    <w:rsid w:val="00E81255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rsid w:val="00E812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81255"/>
  </w:style>
  <w:style w:type="numbering" w:customStyle="1" w:styleId="StandardBulletList">
    <w:name w:val="Standard Bullet List"/>
    <w:basedOn w:val="NoList"/>
    <w:uiPriority w:val="99"/>
    <w:rsid w:val="00E81255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E81255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1255"/>
    <w:rPr>
      <w:rFonts w:eastAsia="Georgia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E81255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81255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1255"/>
    <w:rPr>
      <w:rFonts w:eastAsia="Calibri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E50AB5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1255"/>
    <w:pPr>
      <w:tabs>
        <w:tab w:val="right" w:leader="dot" w:pos="901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81255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E812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267A"/>
    <w:pPr>
      <w:spacing w:after="0" w:line="240" w:lineRule="auto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ulondon.ac.uk/academic-handbook/policies-and-procedures/academic/extenuating-circumstances-policy/" TargetMode="External"/><Relationship Id="rId18" Type="http://schemas.openxmlformats.org/officeDocument/2006/relationships/hyperlink" Target="https://www.nulondon.ac.uk/academic-handbook/forms-library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nulondon.ac.uk/academic-handbook/policies-and-procedures/general/student-welfare/disciplinary-procedure-for-students/" TargetMode="External"/><Relationship Id="rId17" Type="http://schemas.openxmlformats.org/officeDocument/2006/relationships/hyperlink" Target="https://www.nulondon.ac.uk/academic-handbook/policies-and-procedures/academic/academic-appeals-policy-and-procedur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ulondon.ac.uk/academic-handbook/policies-and-procedures/academic/undergraduate-student-attendance-polic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ulondon.ac.uk/academic-handbook/policies-and-procedures/general/student-welfare/declaration-of-criminal-convictions-risk-assessment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ulondon.ac.uk/academic-handbook/policies-and-procedures/general/student-welfare/support-to-study-polic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ulondon.ac.uk/academic-handbook/policies-and-procedures/general/student-welfare/complaints-procedure-for-students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ulondon.ac.uk/academic-handbook/policies-and-procedures/academic/academic-misconduct-policy/" TargetMode="External"/><Relationship Id="rId14" Type="http://schemas.openxmlformats.org/officeDocument/2006/relationships/hyperlink" Target="https://www.nulondon.ac.uk/academic-handbook/policies-and-procedures/research/research-misconduct-policy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D6RXFduc51P443jmOZxeNL5pAQ==">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</go:docsCustomData>
</go:gDocsCustomXmlDataStorage>
</file>

<file path=customXml/itemProps1.xml><?xml version="1.0" encoding="utf-8"?>
<ds:datastoreItem xmlns:ds="http://schemas.openxmlformats.org/officeDocument/2006/customXml" ds:itemID="{0C8D49A1-6230-594A-B393-9640ACDE9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5079</Characters>
  <Application>Microsoft Office Word</Application>
  <DocSecurity>0</DocSecurity>
  <Lines>317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Mitchell</cp:lastModifiedBy>
  <cp:revision>3</cp:revision>
  <dcterms:created xsi:type="dcterms:W3CDTF">2024-03-14T13:25:00Z</dcterms:created>
  <dcterms:modified xsi:type="dcterms:W3CDTF">2024-03-14T13:26:00Z</dcterms:modified>
</cp:coreProperties>
</file>